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4" w:rsidRDefault="00D25E54" w:rsidP="00164C40">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rPr>
      </w:pP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t>ВИТЯГ ІЗ ЗАКОНУ УКРАЇНИ</w:t>
      </w:r>
    </w:p>
    <w:p w:rsidR="00D25E54" w:rsidRDefault="00D25E54" w:rsidP="00164C40">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rPr>
      </w:pP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t xml:space="preserve">“ПРО ЗАСАДИ ЗАПОБІГАННЯ І </w:t>
      </w:r>
    </w:p>
    <w:p w:rsidR="00D25E54" w:rsidRDefault="00D25E54" w:rsidP="00164C40">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rPr>
      </w:pP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r>
      <w:r>
        <w:rPr>
          <w:rStyle w:val="rvts9"/>
          <w:b/>
          <w:bCs/>
          <w:color w:val="000000"/>
          <w:bdr w:val="none" w:sz="0" w:space="0" w:color="auto" w:frame="1"/>
        </w:rPr>
        <w:tab/>
        <w:t>ПРОТИДІЇ КОРУПЦІЇ”</w:t>
      </w:r>
    </w:p>
    <w:p w:rsidR="00D25E54" w:rsidRDefault="00D25E54" w:rsidP="00164C40">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rPr>
      </w:pPr>
    </w:p>
    <w:p w:rsidR="00D25E54" w:rsidRDefault="00D25E54" w:rsidP="00164C40">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rPr>
      </w:pPr>
    </w:p>
    <w:p w:rsidR="00164C40" w:rsidRPr="00D25E54" w:rsidRDefault="00164C40" w:rsidP="00164C40">
      <w:pPr>
        <w:pStyle w:val="rvps2"/>
        <w:shd w:val="clear" w:color="auto" w:fill="FFFFFF"/>
        <w:spacing w:before="0" w:beforeAutospacing="0" w:after="0" w:afterAutospacing="0"/>
        <w:ind w:firstLine="450"/>
        <w:jc w:val="both"/>
        <w:textAlignment w:val="baseline"/>
        <w:rPr>
          <w:b/>
          <w:color w:val="000000"/>
        </w:rPr>
      </w:pPr>
      <w:bookmarkStart w:id="0" w:name="_GoBack"/>
      <w:bookmarkEnd w:id="0"/>
      <w:r w:rsidRPr="00D25E54">
        <w:rPr>
          <w:rStyle w:val="rvts9"/>
          <w:b/>
          <w:bCs/>
          <w:color w:val="000000"/>
          <w:bdr w:val="none" w:sz="0" w:space="0" w:color="auto" w:frame="1"/>
        </w:rPr>
        <w:t>Стаття 12.</w:t>
      </w:r>
      <w:r w:rsidRPr="00D25E54">
        <w:rPr>
          <w:rStyle w:val="apple-converted-space"/>
          <w:b/>
          <w:color w:val="000000"/>
        </w:rPr>
        <w:t> </w:t>
      </w:r>
      <w:r w:rsidRPr="00D25E54">
        <w:rPr>
          <w:b/>
          <w:color w:val="000000"/>
        </w:rPr>
        <w:t>Фінансовий контроль</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 w:name="n134"/>
      <w:bookmarkEnd w:id="1"/>
      <w:r>
        <w:rPr>
          <w:rStyle w:val="rvts46"/>
          <w:i/>
          <w:iCs/>
          <w:color w:val="000000"/>
          <w:bdr w:val="none" w:sz="0" w:space="0" w:color="auto" w:frame="1"/>
        </w:rPr>
        <w:t xml:space="preserve">{Стаття 12 набирає чинності з 1 січня 2012 року - </w:t>
      </w:r>
      <w:proofErr w:type="spellStart"/>
      <w:r>
        <w:rPr>
          <w:rStyle w:val="rvts46"/>
          <w:i/>
          <w:iCs/>
          <w:color w:val="000000"/>
          <w:bdr w:val="none" w:sz="0" w:space="0" w:color="auto" w:frame="1"/>
        </w:rPr>
        <w:t>див</w:t>
      </w:r>
      <w:proofErr w:type="spellEnd"/>
      <w:r>
        <w:rPr>
          <w:rStyle w:val="rvts46"/>
          <w:i/>
          <w:iCs/>
          <w:color w:val="000000"/>
          <w:bdr w:val="none" w:sz="0" w:space="0" w:color="auto" w:frame="1"/>
        </w:rPr>
        <w:t>.</w:t>
      </w:r>
      <w:r>
        <w:rPr>
          <w:rStyle w:val="apple-converted-space"/>
          <w:i/>
          <w:iCs/>
          <w:color w:val="000000"/>
          <w:bdr w:val="none" w:sz="0" w:space="0" w:color="auto" w:frame="1"/>
        </w:rPr>
        <w:t> </w:t>
      </w:r>
      <w:hyperlink r:id="rId5" w:anchor="n240" w:history="1">
        <w:r>
          <w:rPr>
            <w:rStyle w:val="a3"/>
            <w:i/>
            <w:iCs/>
            <w:color w:val="006600"/>
            <w:bdr w:val="none" w:sz="0" w:space="0" w:color="auto" w:frame="1"/>
          </w:rPr>
          <w:t>п.1 розділу VIII "Прикінцеві та перехідні положення"</w:t>
        </w:r>
      </w:hyperlink>
      <w:r>
        <w:rPr>
          <w:rStyle w:val="apple-converted-space"/>
          <w:i/>
          <w:iCs/>
          <w:color w:val="000000"/>
          <w:bdr w:val="none" w:sz="0" w:space="0" w:color="auto" w:frame="1"/>
        </w:rPr>
        <w:t> </w:t>
      </w:r>
      <w:r>
        <w:rPr>
          <w:rStyle w:val="rvts46"/>
          <w:i/>
          <w:iCs/>
          <w:color w:val="000000"/>
          <w:bdr w:val="none" w:sz="0" w:space="0" w:color="auto" w:frame="1"/>
        </w:rPr>
        <w:t>цього Закону}</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2" w:name="n135"/>
      <w:bookmarkEnd w:id="2"/>
      <w:r>
        <w:rPr>
          <w:color w:val="000000"/>
        </w:rPr>
        <w:t>1. Суб’єкти декларування, зобов'язані щорічно до 1 квітня подавати за місцем роботи (служби) декларацію про майно, доходи, витрати і зобов'язання фінансового характеру за минулий рік за</w:t>
      </w:r>
      <w:r>
        <w:rPr>
          <w:rStyle w:val="apple-converted-space"/>
          <w:color w:val="000000"/>
        </w:rPr>
        <w:t> </w:t>
      </w:r>
      <w:hyperlink r:id="rId6" w:anchor="n248" w:history="1">
        <w:r>
          <w:rPr>
            <w:rStyle w:val="a3"/>
            <w:color w:val="006600"/>
            <w:bdr w:val="none" w:sz="0" w:space="0" w:color="auto" w:frame="1"/>
          </w:rPr>
          <w:t>формою</w:t>
        </w:r>
      </w:hyperlink>
      <w:r>
        <w:rPr>
          <w:color w:val="000000"/>
        </w:rPr>
        <w:t>, що додається до цього Закону.</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3" w:name="n303"/>
      <w:bookmarkEnd w:id="3"/>
      <w:r>
        <w:rPr>
          <w:rStyle w:val="rvts46"/>
          <w:i/>
          <w:iCs/>
          <w:color w:val="000000"/>
          <w:bdr w:val="none" w:sz="0" w:space="0" w:color="auto" w:frame="1"/>
        </w:rPr>
        <w:t>{Абзац перший частини першої статті 12 із змінами, внесеними згідно із Законом</w:t>
      </w:r>
      <w:r>
        <w:rPr>
          <w:rStyle w:val="apple-converted-space"/>
          <w:i/>
          <w:iCs/>
          <w:color w:val="000000"/>
          <w:bdr w:val="none" w:sz="0" w:space="0" w:color="auto" w:frame="1"/>
        </w:rPr>
        <w:t> </w:t>
      </w:r>
      <w:hyperlink r:id="rId7" w:anchor="n97"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4" w:name="n136"/>
      <w:bookmarkEnd w:id="4"/>
      <w:r>
        <w:rPr>
          <w:color w:val="000000"/>
        </w:rPr>
        <w:t>Суб’єкти декларування, які не мали можливості подати до 1 квітня за місцем роботи (служби) декларацію про майно, доходи, витрати і зобов'язання фінансового характеру за минулий рік через перебування у відпустці у зв'язку з вагітністю та пологами або для догляду за дитиною, через тимчасову непрацездатність, перебування за межами України, під вартою, подають таку декларацію за звітний рік до 31 грудня. Суб’єкти декларування, які звільняються або іншим чином припиняють діяльність, пов’язану з виконанням функцій держави або місцевого самоврядування, подають декларацію про майно, доходи, витрати і зобов’язання фінансового характеру за період, не охоплений раніше поданими деклараціями. Суб’єкти декларування, які звільнилися або іншим чином припинили діяльність, пов’язану з виконанням функцій держави або місцевого самоврядування, зобов’язані протягом одного року подавати за своїм останнім місцем роботи (служби) декларацію про майно, доходи, витрати і зобов’язання фінансового характеру за минулий рік за формою і в порядку, визначеними цим Законом.</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5" w:name="n304"/>
      <w:bookmarkEnd w:id="5"/>
      <w:r>
        <w:rPr>
          <w:rStyle w:val="rvts46"/>
          <w:i/>
          <w:iCs/>
          <w:color w:val="000000"/>
          <w:bdr w:val="none" w:sz="0" w:space="0" w:color="auto" w:frame="1"/>
        </w:rPr>
        <w:t>{Абзац другий частини першої статті 12 із змінами, внесеними згідно із Законом</w:t>
      </w:r>
      <w:r>
        <w:rPr>
          <w:rStyle w:val="apple-converted-space"/>
          <w:i/>
          <w:iCs/>
          <w:color w:val="000000"/>
          <w:bdr w:val="none" w:sz="0" w:space="0" w:color="auto" w:frame="1"/>
        </w:rPr>
        <w:t> </w:t>
      </w:r>
      <w:hyperlink r:id="rId8" w:anchor="n98"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6" w:name="n137"/>
      <w:bookmarkEnd w:id="6"/>
      <w:r>
        <w:rPr>
          <w:color w:val="000000"/>
        </w:rPr>
        <w:t xml:space="preserve">2. Відомості, зазначені у декларації про майно, доходи, витрати і зобов’язання фінансового характеру за минулий рік Президента України, Голови Верховної Ради України, народних депутатів України, Прем’єр-міністра України, членів Кабінету Міністрів України, Голови та суддів Конституційного Суду України, Голови та суддів Верховного Суду України, голів та суддів вищих спеціалізованих судів України, Генерального прокурора України та його заступників, Голови Національного банку України, Голови Рахункової палати, Голови та членів Вищої ради юстиції, членів Центральної виборчої комісії, Уповноваженого Верховної Ради України з прав людини, Голови та членів Вищої кваліфікаційної комісії суддів України, перших заступників та заступників міністрів, заступників міністрів - керівників апаратів, керівників інших державних органів, </w:t>
      </w:r>
      <w:proofErr w:type="spellStart"/>
      <w:r>
        <w:rPr>
          <w:color w:val="000000"/>
        </w:rPr>
        <w:t>органів</w:t>
      </w:r>
      <w:proofErr w:type="spellEnd"/>
      <w:r>
        <w:rPr>
          <w:color w:val="000000"/>
        </w:rPr>
        <w:t xml:space="preserve"> влади Автономної Республіки Крим та їх заступників, членів колегіальних державних органів (комісій, рад), сільського, селищного, міського голови, </w:t>
      </w:r>
      <w:proofErr w:type="spellStart"/>
      <w:r>
        <w:rPr>
          <w:color w:val="000000"/>
        </w:rPr>
        <w:t>голови</w:t>
      </w:r>
      <w:proofErr w:type="spellEnd"/>
      <w:r>
        <w:rPr>
          <w:color w:val="000000"/>
        </w:rPr>
        <w:t xml:space="preserve"> районної у місті (у разі її утворення), районної, обласної ради та їх заступників, керівників виконавчих органів сільських, селищних, міських, районних у містах (у разі їх утворення) рад та їх заступників, секретаря сільської, селищної, міської ради, підлягають оприлюдненню протягом 30 днів з дня їх подання на офіційному веб-сайті відповідного державного органу чи органу місцевого самоврядування на строк не менше одного року. У разі відсутності офіційного веб-сайту такі відомості оприлюднюються шляхом опублікування в офіційних друкованих виданнях відповідних державних органів та органів місцевого самоврядування протягом 30 днів з дня подання декларації про майно, доходи, витрати і зобов’язання фінансового характеру. Оприлюдненню підлягають усі відомості, зазначені в декларації про майно, доходи, витрати і зобов’язання фінансового характеру, крім відомостей, що віднесені цим Законом до інформації з обмеженим доступом.</w:t>
      </w:r>
    </w:p>
    <w:p w:rsidR="00164C40" w:rsidRPr="00D25E54" w:rsidRDefault="00164C40" w:rsidP="00164C40">
      <w:pPr>
        <w:pStyle w:val="rvps2"/>
        <w:shd w:val="clear" w:color="auto" w:fill="FFFFFF"/>
        <w:spacing w:before="0" w:beforeAutospacing="0" w:after="0" w:afterAutospacing="0"/>
        <w:ind w:firstLine="450"/>
        <w:jc w:val="both"/>
        <w:textAlignment w:val="baseline"/>
        <w:rPr>
          <w:b/>
          <w:color w:val="000000"/>
        </w:rPr>
      </w:pPr>
      <w:bookmarkStart w:id="7" w:name="n307"/>
      <w:bookmarkEnd w:id="7"/>
      <w:r w:rsidRPr="00D25E54">
        <w:rPr>
          <w:b/>
          <w:color w:val="000000"/>
        </w:rPr>
        <w:t xml:space="preserve">Відомості щодо реєстраційного номера облікової картки платника податків або серії та номера паспорта громадянина України, а також щодо місця проживання та реєстрації декларанта, місцезнаходження об’єктів, які наводяться в декларації про </w:t>
      </w:r>
      <w:r w:rsidRPr="00D25E54">
        <w:rPr>
          <w:b/>
          <w:color w:val="000000"/>
        </w:rPr>
        <w:lastRenderedPageBreak/>
        <w:t xml:space="preserve">майно, доходи, витрати і зобов’язання фінансового характеру, </w:t>
      </w:r>
      <w:r w:rsidRPr="00D25E54">
        <w:rPr>
          <w:b/>
          <w:color w:val="000000"/>
          <w:u w:val="single"/>
        </w:rPr>
        <w:t>є інформацією з обмеженим доступом та оприлюдненню не підлягають.</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8" w:name="n305"/>
      <w:bookmarkEnd w:id="8"/>
      <w:r>
        <w:rPr>
          <w:rStyle w:val="rvts46"/>
          <w:i/>
          <w:iCs/>
          <w:color w:val="000000"/>
          <w:bdr w:val="none" w:sz="0" w:space="0" w:color="auto" w:frame="1"/>
        </w:rPr>
        <w:t>{Частина друга статті 12 із змінами, внесеними згідно із Законом</w:t>
      </w:r>
      <w:r>
        <w:rPr>
          <w:rStyle w:val="apple-converted-space"/>
          <w:i/>
          <w:iCs/>
          <w:color w:val="000000"/>
          <w:bdr w:val="none" w:sz="0" w:space="0" w:color="auto" w:frame="1"/>
        </w:rPr>
        <w:t> </w:t>
      </w:r>
      <w:hyperlink r:id="rId9" w:anchor="n101" w:tgtFrame="_blank" w:history="1">
        <w:r>
          <w:rPr>
            <w:rStyle w:val="a3"/>
            <w:i/>
            <w:iCs/>
            <w:color w:val="000099"/>
            <w:bdr w:val="none" w:sz="0" w:space="0" w:color="auto" w:frame="1"/>
          </w:rPr>
          <w:t>№ 224-VII від 14.05.2013</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10" w:anchor="n359" w:tgtFrame="_blank" w:history="1">
        <w:r>
          <w:rPr>
            <w:rStyle w:val="a3"/>
            <w:i/>
            <w:iCs/>
            <w:color w:val="000099"/>
            <w:bdr w:val="none" w:sz="0" w:space="0" w:color="auto" w:frame="1"/>
          </w:rPr>
          <w:t>№ 1170-VII від 27.03.2014</w:t>
        </w:r>
      </w:hyperlink>
      <w:r>
        <w:rPr>
          <w:rStyle w:val="rvts46"/>
          <w:i/>
          <w:iCs/>
          <w:color w:val="000000"/>
          <w:bdr w:val="none" w:sz="0" w:space="0" w:color="auto" w:frame="1"/>
        </w:rPr>
        <w:t>}</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9" w:name="n138"/>
      <w:bookmarkEnd w:id="9"/>
      <w:r>
        <w:rPr>
          <w:color w:val="000000"/>
        </w:rPr>
        <w:t>3. У разі відкриття суб’єктом декларування або членом його сім’ї валютного рахунка в установі банку-нерезидента така особа зобов'язана в десятиденний строк письмово повідомити про це орган доходів і зборів за місцем проживання із зазначенням номера рахунка і місцезнаходження банку-нерезидента.</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0" w:name="n308"/>
      <w:bookmarkEnd w:id="10"/>
      <w:r>
        <w:rPr>
          <w:rStyle w:val="rvts46"/>
          <w:i/>
          <w:iCs/>
          <w:color w:val="000000"/>
          <w:bdr w:val="none" w:sz="0" w:space="0" w:color="auto" w:frame="1"/>
        </w:rPr>
        <w:t>{Частина третя статті 12 із змінами, внесеними згідно із Законами</w:t>
      </w:r>
      <w:r>
        <w:rPr>
          <w:rStyle w:val="apple-converted-space"/>
          <w:i/>
          <w:iCs/>
          <w:color w:val="000000"/>
          <w:bdr w:val="none" w:sz="0" w:space="0" w:color="auto" w:frame="1"/>
        </w:rPr>
        <w:t> </w:t>
      </w:r>
      <w:hyperlink r:id="rId11" w:anchor="n104"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r>
        <w:rPr>
          <w:rStyle w:val="apple-converted-space"/>
          <w:i/>
          <w:iCs/>
          <w:color w:val="000000"/>
          <w:bdr w:val="none" w:sz="0" w:space="0" w:color="auto" w:frame="1"/>
        </w:rPr>
        <w:t> </w:t>
      </w:r>
      <w:hyperlink r:id="rId12" w:anchor="n557" w:tgtFrame="_blank" w:history="1">
        <w:r>
          <w:rPr>
            <w:rStyle w:val="a3"/>
            <w:i/>
            <w:iCs/>
            <w:color w:val="000099"/>
            <w:bdr w:val="none" w:sz="0" w:space="0" w:color="auto" w:frame="1"/>
          </w:rPr>
          <w:t>№ 406-VII від 04.07.2013</w:t>
        </w:r>
      </w:hyperlink>
      <w:r>
        <w:rPr>
          <w:rStyle w:val="rvts46"/>
          <w:i/>
          <w:iCs/>
          <w:color w:val="000000"/>
          <w:bdr w:val="none" w:sz="0" w:space="0" w:color="auto" w:frame="1"/>
        </w:rPr>
        <w:t>}</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1" w:name="n139"/>
      <w:bookmarkEnd w:id="11"/>
      <w:r>
        <w:rPr>
          <w:color w:val="000000"/>
        </w:rPr>
        <w:t>4.</w:t>
      </w:r>
      <w:r>
        <w:rPr>
          <w:rStyle w:val="apple-converted-space"/>
          <w:color w:val="000000"/>
        </w:rPr>
        <w:t> </w:t>
      </w:r>
      <w:hyperlink r:id="rId13" w:anchor="n7" w:tgtFrame="_blank" w:history="1">
        <w:r>
          <w:rPr>
            <w:rStyle w:val="a3"/>
            <w:color w:val="000099"/>
            <w:bdr w:val="none" w:sz="0" w:space="0" w:color="auto" w:frame="1"/>
          </w:rPr>
          <w:t>Порядок</w:t>
        </w:r>
      </w:hyperlink>
      <w:r>
        <w:rPr>
          <w:rStyle w:val="apple-converted-space"/>
          <w:color w:val="000000"/>
        </w:rPr>
        <w:t> </w:t>
      </w:r>
      <w:r>
        <w:rPr>
          <w:color w:val="000000"/>
        </w:rPr>
        <w:t>зберігання документів і використання відомостей, зазначених у декларації про майно, доходи, витрати і зобов'язання фінансового характеру, та відомостей, передбачених частиною третьою цієї статті, затверджується Кабінетом Міністрів України відповідно до вимог, встановлених законом.</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2" w:name="n140"/>
      <w:bookmarkEnd w:id="12"/>
      <w:r>
        <w:rPr>
          <w:color w:val="000000"/>
        </w:rPr>
        <w:t>5. Особа, яка претендує на зайняття посади, зазначеної в пункті 1 та підпункті "а" пункту 2 частини першої статті 4 цього Закону, до призначення або обрання на відповідну посаду подає в установленому законом порядку декларацію про майно, доходи, витрати і зобов'язання фінансового характеру за минулий рік за</w:t>
      </w:r>
      <w:r>
        <w:rPr>
          <w:rStyle w:val="apple-converted-space"/>
          <w:color w:val="000000"/>
        </w:rPr>
        <w:t> </w:t>
      </w:r>
      <w:hyperlink r:id="rId14" w:anchor="n248" w:history="1">
        <w:r>
          <w:rPr>
            <w:rStyle w:val="a3"/>
            <w:color w:val="006600"/>
            <w:bdr w:val="none" w:sz="0" w:space="0" w:color="auto" w:frame="1"/>
          </w:rPr>
          <w:t>формою</w:t>
        </w:r>
      </w:hyperlink>
      <w:r>
        <w:rPr>
          <w:color w:val="000000"/>
        </w:rPr>
        <w:t>, що додається до цього Закону.</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3" w:name="n357"/>
      <w:bookmarkEnd w:id="13"/>
      <w:r>
        <w:rPr>
          <w:color w:val="000000"/>
        </w:rPr>
        <w:t>6. З метою забезпечення відкритості та прозорості діяльності осіб, уповноважених на виконання функцій держави або місцевого самоврядування, уповноваженими підрозділами проводяться:</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4" w:name="n358"/>
      <w:bookmarkEnd w:id="14"/>
      <w:r>
        <w:rPr>
          <w:color w:val="000000"/>
        </w:rPr>
        <w:t>1) перевірка фактів своєчасності подання декларацій;</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5" w:name="n359"/>
      <w:bookmarkEnd w:id="15"/>
      <w:r>
        <w:rPr>
          <w:color w:val="000000"/>
        </w:rPr>
        <w:t>2) перевірка декларацій на наявність конфлікту інтересів;</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6" w:name="n360"/>
      <w:bookmarkEnd w:id="16"/>
      <w:r>
        <w:rPr>
          <w:color w:val="000000"/>
        </w:rPr>
        <w:t>3) логічний та арифметичний контроль декларацій.</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7" w:name="n371"/>
      <w:bookmarkEnd w:id="17"/>
      <w:r>
        <w:rPr>
          <w:rStyle w:val="rvts46"/>
          <w:i/>
          <w:iCs/>
          <w:color w:val="000000"/>
          <w:bdr w:val="none" w:sz="0" w:space="0" w:color="auto" w:frame="1"/>
        </w:rPr>
        <w:t>{Статтю 12 доповнено частиною шостою згідно із Законом</w:t>
      </w:r>
      <w:r>
        <w:rPr>
          <w:rStyle w:val="apple-converted-space"/>
          <w:i/>
          <w:iCs/>
          <w:color w:val="000000"/>
          <w:bdr w:val="none" w:sz="0" w:space="0" w:color="auto" w:frame="1"/>
        </w:rPr>
        <w:t> </w:t>
      </w:r>
      <w:hyperlink r:id="rId15" w:anchor="n105"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8" w:name="n361"/>
      <w:bookmarkEnd w:id="18"/>
      <w:r>
        <w:rPr>
          <w:color w:val="000000"/>
        </w:rPr>
        <w:t>7. Перевірка факту своєчасності подання декларації здійснюється протягом п’ятнадцяти робочих днів з дня, у який така декларація повинна бути подана.</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19" w:name="n370"/>
      <w:bookmarkEnd w:id="19"/>
      <w:r>
        <w:rPr>
          <w:rStyle w:val="rvts46"/>
          <w:i/>
          <w:iCs/>
          <w:color w:val="000000"/>
          <w:bdr w:val="none" w:sz="0" w:space="0" w:color="auto" w:frame="1"/>
        </w:rPr>
        <w:t>{Статтю 12 доповнено частиною сьомою згідно із Законом</w:t>
      </w:r>
      <w:r>
        <w:rPr>
          <w:rStyle w:val="apple-converted-space"/>
          <w:i/>
          <w:iCs/>
          <w:color w:val="000000"/>
          <w:bdr w:val="none" w:sz="0" w:space="0" w:color="auto" w:frame="1"/>
        </w:rPr>
        <w:t> </w:t>
      </w:r>
      <w:hyperlink r:id="rId16" w:anchor="n105"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20" w:name="n362"/>
      <w:bookmarkEnd w:id="20"/>
      <w:r>
        <w:rPr>
          <w:color w:val="000000"/>
        </w:rPr>
        <w:t>8. Перевірка декларації на наявність конфлікту інтересів суб’єкта декларування здійснюється протягом тридцяти днів з дня подання декларації і полягає у порівнянні службових обов’язків суб’єкта декларування з його та членів його сім’ї фінансовими інтересами.</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21" w:name="n369"/>
      <w:bookmarkEnd w:id="21"/>
      <w:r>
        <w:rPr>
          <w:rStyle w:val="rvts46"/>
          <w:i/>
          <w:iCs/>
          <w:color w:val="000000"/>
          <w:bdr w:val="none" w:sz="0" w:space="0" w:color="auto" w:frame="1"/>
        </w:rPr>
        <w:t>{Статтю 12 доповнено частиною восьмою згідно із Законом</w:t>
      </w:r>
      <w:r>
        <w:rPr>
          <w:rStyle w:val="apple-converted-space"/>
          <w:i/>
          <w:iCs/>
          <w:color w:val="000000"/>
          <w:bdr w:val="none" w:sz="0" w:space="0" w:color="auto" w:frame="1"/>
        </w:rPr>
        <w:t> </w:t>
      </w:r>
      <w:hyperlink r:id="rId17" w:anchor="n105"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22" w:name="n363"/>
      <w:bookmarkEnd w:id="22"/>
      <w:r>
        <w:rPr>
          <w:color w:val="000000"/>
        </w:rPr>
        <w:t>9. Логічний та арифметичний контроль декларації здійснюється протягом тридцяти днів з дня подання декларації у порядку, визначеному центральним органом виконавчої влади, відповідальним за формування державної податкової політики, та Міністерством юстиції України.</w:t>
      </w:r>
    </w:p>
    <w:p w:rsidR="00164C40" w:rsidRPr="00D25E54" w:rsidRDefault="00164C40" w:rsidP="00164C40">
      <w:pPr>
        <w:pStyle w:val="rvps2"/>
        <w:shd w:val="clear" w:color="auto" w:fill="FFFFFF"/>
        <w:spacing w:before="0" w:beforeAutospacing="0" w:after="0" w:afterAutospacing="0"/>
        <w:ind w:firstLine="450"/>
        <w:jc w:val="both"/>
        <w:textAlignment w:val="baseline"/>
        <w:rPr>
          <w:b/>
          <w:color w:val="000000"/>
        </w:rPr>
      </w:pPr>
      <w:bookmarkStart w:id="23" w:name="n364"/>
      <w:bookmarkEnd w:id="23"/>
      <w:r w:rsidRPr="00D25E54">
        <w:rPr>
          <w:b/>
          <w:color w:val="000000"/>
        </w:rPr>
        <w:t xml:space="preserve">У разі виявлення під час перевірки декларації арифметичних або логічних помилок уповноважений підрозділ невідкладно письмово повідомляє про це відповідного суб’єкта декларування, який має право протягом п’яти днів з дня отримання такого повідомлення подати уповноваженому підрозділу </w:t>
      </w:r>
      <w:r w:rsidRPr="00D25E54">
        <w:rPr>
          <w:b/>
          <w:color w:val="000000"/>
          <w:u w:val="single"/>
        </w:rPr>
        <w:t>письмове пояснення та/або виправлену декларацію</w:t>
      </w:r>
      <w:r w:rsidRPr="00D25E54">
        <w:rPr>
          <w:b/>
          <w:color w:val="000000"/>
        </w:rPr>
        <w:t>.</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24" w:name="n365"/>
      <w:bookmarkEnd w:id="24"/>
      <w:r>
        <w:rPr>
          <w:color w:val="000000"/>
        </w:rPr>
        <w:t xml:space="preserve">У зв’язку з проведенням логічного та арифметичного контролю декларації про майно, доходи, витрати і зобов’язання фінансового характеру суб’єкта декларування уповноважений підрозділ має право робити запити до державних органів, </w:t>
      </w:r>
      <w:proofErr w:type="spellStart"/>
      <w:r>
        <w:rPr>
          <w:color w:val="000000"/>
        </w:rPr>
        <w:t>органів</w:t>
      </w:r>
      <w:proofErr w:type="spellEnd"/>
      <w:r>
        <w:rPr>
          <w:color w:val="000000"/>
        </w:rPr>
        <w:t xml:space="preserve"> влади Автономної Республіки Крим, органів місцевого самоврядування, підприємств, установ, організацій незалежно від форми власності щодо зазначених відомостей.</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25" w:name="n366"/>
      <w:bookmarkEnd w:id="25"/>
      <w:r>
        <w:rPr>
          <w:color w:val="000000"/>
        </w:rPr>
        <w:t xml:space="preserve">Державні органи, </w:t>
      </w:r>
      <w:proofErr w:type="spellStart"/>
      <w:r>
        <w:rPr>
          <w:color w:val="000000"/>
        </w:rPr>
        <w:t>органи</w:t>
      </w:r>
      <w:proofErr w:type="spellEnd"/>
      <w:r>
        <w:rPr>
          <w:color w:val="000000"/>
        </w:rPr>
        <w:t xml:space="preserve"> влади Автономної Республіки Крим, органи місцевого самоврядування, підприємства, установи, організації, яким надіслано запит уповноваженого підрозділу, зобов’язані не пізніше десяти робочих днів з дня отримання запиту подати копії необхідних документів або відповідну інформацію.</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26" w:name="n368"/>
      <w:bookmarkEnd w:id="26"/>
      <w:r>
        <w:rPr>
          <w:rStyle w:val="rvts46"/>
          <w:i/>
          <w:iCs/>
          <w:color w:val="000000"/>
          <w:bdr w:val="none" w:sz="0" w:space="0" w:color="auto" w:frame="1"/>
        </w:rPr>
        <w:t>{Статтю 12 доповнено частиною дев'ятою згідно із Законом</w:t>
      </w:r>
      <w:r>
        <w:rPr>
          <w:rStyle w:val="apple-converted-space"/>
          <w:i/>
          <w:iCs/>
          <w:color w:val="000000"/>
          <w:bdr w:val="none" w:sz="0" w:space="0" w:color="auto" w:frame="1"/>
        </w:rPr>
        <w:t> </w:t>
      </w:r>
      <w:hyperlink r:id="rId18" w:anchor="n105"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27" w:name="n367"/>
      <w:bookmarkEnd w:id="27"/>
      <w:r>
        <w:rPr>
          <w:color w:val="000000"/>
        </w:rPr>
        <w:lastRenderedPageBreak/>
        <w:t xml:space="preserve">10. У разі встановлення за результатами передбачених цією статтею перевірок ознак правопорушення уповноважений підрозділ письмово повідомляє керівника відповідного державного органу, </w:t>
      </w:r>
      <w:proofErr w:type="spellStart"/>
      <w:r>
        <w:rPr>
          <w:color w:val="000000"/>
        </w:rPr>
        <w:t>органу</w:t>
      </w:r>
      <w:proofErr w:type="spellEnd"/>
      <w:r>
        <w:rPr>
          <w:color w:val="000000"/>
        </w:rPr>
        <w:t xml:space="preserve"> влади Автономної Республіки Крим, його апарату, органу місцевого самоврядування, юридичної особи публічного права та правоохоронні органи";</w:t>
      </w:r>
    </w:p>
    <w:p w:rsidR="00164C40" w:rsidRDefault="00164C40" w:rsidP="00164C40">
      <w:pPr>
        <w:pStyle w:val="rvps2"/>
        <w:shd w:val="clear" w:color="auto" w:fill="FFFFFF"/>
        <w:spacing w:before="0" w:beforeAutospacing="0" w:after="0" w:afterAutospacing="0"/>
        <w:ind w:firstLine="450"/>
        <w:jc w:val="both"/>
        <w:textAlignment w:val="baseline"/>
        <w:rPr>
          <w:color w:val="000000"/>
        </w:rPr>
      </w:pPr>
      <w:bookmarkStart w:id="28" w:name="n355"/>
      <w:bookmarkEnd w:id="28"/>
      <w:r>
        <w:rPr>
          <w:rStyle w:val="rvts46"/>
          <w:i/>
          <w:iCs/>
          <w:color w:val="000000"/>
          <w:bdr w:val="none" w:sz="0" w:space="0" w:color="auto" w:frame="1"/>
        </w:rPr>
        <w:t>{Статтю 12 доповнено частиною десятою згідно із Законом</w:t>
      </w:r>
      <w:r>
        <w:rPr>
          <w:rStyle w:val="apple-converted-space"/>
          <w:i/>
          <w:iCs/>
          <w:color w:val="000000"/>
          <w:bdr w:val="none" w:sz="0" w:space="0" w:color="auto" w:frame="1"/>
        </w:rPr>
        <w:t> </w:t>
      </w:r>
      <w:hyperlink r:id="rId19" w:anchor="n105" w:tgtFrame="_blank" w:history="1">
        <w:r>
          <w:rPr>
            <w:rStyle w:val="a3"/>
            <w:i/>
            <w:iCs/>
            <w:color w:val="000099"/>
            <w:bdr w:val="none" w:sz="0" w:space="0" w:color="auto" w:frame="1"/>
          </w:rPr>
          <w:t>№ 224-VII від 14.05.2013</w:t>
        </w:r>
      </w:hyperlink>
      <w:r>
        <w:rPr>
          <w:rStyle w:val="rvts46"/>
          <w:i/>
          <w:iCs/>
          <w:color w:val="000000"/>
          <w:bdr w:val="none" w:sz="0" w:space="0" w:color="auto" w:frame="1"/>
        </w:rPr>
        <w:t>}</w:t>
      </w:r>
    </w:p>
    <w:p w:rsidR="00D94D1E" w:rsidRDefault="00D94D1E"/>
    <w:sectPr w:rsidR="00D94D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40"/>
    <w:rsid w:val="00164C40"/>
    <w:rsid w:val="00280783"/>
    <w:rsid w:val="00412A3F"/>
    <w:rsid w:val="00D25E54"/>
    <w:rsid w:val="00D94D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64C40"/>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164C40"/>
  </w:style>
  <w:style w:type="character" w:customStyle="1" w:styleId="apple-converted-space">
    <w:name w:val="apple-converted-space"/>
    <w:basedOn w:val="a0"/>
    <w:rsid w:val="00164C40"/>
  </w:style>
  <w:style w:type="character" w:customStyle="1" w:styleId="rvts46">
    <w:name w:val="rvts46"/>
    <w:basedOn w:val="a0"/>
    <w:rsid w:val="00164C40"/>
  </w:style>
  <w:style w:type="character" w:styleId="a3">
    <w:name w:val="Hyperlink"/>
    <w:basedOn w:val="a0"/>
    <w:uiPriority w:val="99"/>
    <w:semiHidden/>
    <w:unhideWhenUsed/>
    <w:rsid w:val="00164C40"/>
    <w:rPr>
      <w:color w:val="0000FF"/>
      <w:u w:val="single"/>
    </w:rPr>
  </w:style>
  <w:style w:type="paragraph" w:styleId="a4">
    <w:name w:val="Balloon Text"/>
    <w:basedOn w:val="a"/>
    <w:link w:val="a5"/>
    <w:uiPriority w:val="99"/>
    <w:semiHidden/>
    <w:unhideWhenUsed/>
    <w:rsid w:val="00164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64C40"/>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164C40"/>
  </w:style>
  <w:style w:type="character" w:customStyle="1" w:styleId="apple-converted-space">
    <w:name w:val="apple-converted-space"/>
    <w:basedOn w:val="a0"/>
    <w:rsid w:val="00164C40"/>
  </w:style>
  <w:style w:type="character" w:customStyle="1" w:styleId="rvts46">
    <w:name w:val="rvts46"/>
    <w:basedOn w:val="a0"/>
    <w:rsid w:val="00164C40"/>
  </w:style>
  <w:style w:type="character" w:styleId="a3">
    <w:name w:val="Hyperlink"/>
    <w:basedOn w:val="a0"/>
    <w:uiPriority w:val="99"/>
    <w:semiHidden/>
    <w:unhideWhenUsed/>
    <w:rsid w:val="00164C40"/>
    <w:rPr>
      <w:color w:val="0000FF"/>
      <w:u w:val="single"/>
    </w:rPr>
  </w:style>
  <w:style w:type="paragraph" w:styleId="a4">
    <w:name w:val="Balloon Text"/>
    <w:basedOn w:val="a"/>
    <w:link w:val="a5"/>
    <w:uiPriority w:val="99"/>
    <w:semiHidden/>
    <w:unhideWhenUsed/>
    <w:rsid w:val="00164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4-18/paran98" TargetMode="External"/><Relationship Id="rId13" Type="http://schemas.openxmlformats.org/officeDocument/2006/relationships/hyperlink" Target="http://zakon4.rada.gov.ua/laws/show/16-2012-%D0%BF/paran7" TargetMode="External"/><Relationship Id="rId18" Type="http://schemas.openxmlformats.org/officeDocument/2006/relationships/hyperlink" Target="http://zakon4.rada.gov.ua/laws/show/224-18/paran1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224-18/paran97" TargetMode="External"/><Relationship Id="rId12" Type="http://schemas.openxmlformats.org/officeDocument/2006/relationships/hyperlink" Target="http://zakon4.rada.gov.ua/laws/show/406-18/paran557" TargetMode="External"/><Relationship Id="rId17" Type="http://schemas.openxmlformats.org/officeDocument/2006/relationships/hyperlink" Target="http://zakon4.rada.gov.ua/laws/show/224-18/paran105" TargetMode="External"/><Relationship Id="rId2" Type="http://schemas.microsoft.com/office/2007/relationships/stylesWithEffects" Target="stylesWithEffects.xml"/><Relationship Id="rId16" Type="http://schemas.openxmlformats.org/officeDocument/2006/relationships/hyperlink" Target="http://zakon4.rada.gov.ua/laws/show/224-18/paran10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4.rada.gov.ua/laws/show/3206-17/paran248" TargetMode="External"/><Relationship Id="rId11" Type="http://schemas.openxmlformats.org/officeDocument/2006/relationships/hyperlink" Target="http://zakon4.rada.gov.ua/laws/show/224-18/paran104" TargetMode="External"/><Relationship Id="rId5" Type="http://schemas.openxmlformats.org/officeDocument/2006/relationships/hyperlink" Target="http://zakon4.rada.gov.ua/laws/show/3206-17/paran240" TargetMode="External"/><Relationship Id="rId15" Type="http://schemas.openxmlformats.org/officeDocument/2006/relationships/hyperlink" Target="http://zakon4.rada.gov.ua/laws/show/224-18/paran105" TargetMode="External"/><Relationship Id="rId10" Type="http://schemas.openxmlformats.org/officeDocument/2006/relationships/hyperlink" Target="http://zakon4.rada.gov.ua/laws/show/1170-18/paran359" TargetMode="External"/><Relationship Id="rId19" Type="http://schemas.openxmlformats.org/officeDocument/2006/relationships/hyperlink" Target="http://zakon4.rada.gov.ua/laws/show/224-18/paran105" TargetMode="External"/><Relationship Id="rId4" Type="http://schemas.openxmlformats.org/officeDocument/2006/relationships/webSettings" Target="webSettings.xml"/><Relationship Id="rId9" Type="http://schemas.openxmlformats.org/officeDocument/2006/relationships/hyperlink" Target="http://zakon4.rada.gov.ua/laws/show/224-18/paran101" TargetMode="External"/><Relationship Id="rId14" Type="http://schemas.openxmlformats.org/officeDocument/2006/relationships/hyperlink" Target="http://zakon4.rada.gov.ua/laws/show/3206-17/paran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5931</Words>
  <Characters>3382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2014-11-22T10:42:00Z</cp:lastPrinted>
  <dcterms:created xsi:type="dcterms:W3CDTF">2014-05-28T06:55:00Z</dcterms:created>
  <dcterms:modified xsi:type="dcterms:W3CDTF">2014-11-22T10:42:00Z</dcterms:modified>
</cp:coreProperties>
</file>